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486FE3B4" w:rsidR="00BD447D" w:rsidRPr="00BC6239" w:rsidRDefault="0031723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DBDCDE0">
                  <wp:simplePos x="0" y="0"/>
                  <wp:positionH relativeFrom="column">
                    <wp:posOffset>1732280</wp:posOffset>
                  </wp:positionH>
                  <wp:positionV relativeFrom="paragraph">
                    <wp:posOffset>-221615</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250EEB91"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02D1E93F" w:rsidR="00BD447D" w:rsidRPr="00307477" w:rsidRDefault="00307477" w:rsidP="00307477">
            <w:pPr>
              <w:tabs>
                <w:tab w:val="left" w:pos="851"/>
              </w:tabs>
              <w:suppressAutoHyphens/>
              <w:spacing w:before="120" w:after="120" w:line="240" w:lineRule="auto"/>
              <w:jc w:val="center"/>
              <w:rPr>
                <w:rFonts w:ascii="DIN Pro" w:eastAsia="Times New Roman" w:hAnsi="DIN Pro" w:cs="Arial"/>
                <w:b/>
                <w:color w:val="FFFFFF"/>
                <w:lang w:eastAsia="zh-CN"/>
              </w:rPr>
            </w:pPr>
            <w:r w:rsidRPr="00307477">
              <w:rPr>
                <w:rFonts w:ascii="DIN Pro" w:eastAsia="Times New Roman" w:hAnsi="DIN Pro" w:cs="Arial"/>
                <w:b/>
                <w:color w:val="FFFFFF"/>
                <w:lang w:eastAsia="zh-CN"/>
              </w:rPr>
              <w:t>MARCHÉ DE SERVICES N° MAPA-2025-0</w:t>
            </w:r>
            <w:r w:rsidR="0066597B">
              <w:rPr>
                <w:rFonts w:ascii="DIN Pro" w:eastAsia="Times New Roman" w:hAnsi="DIN Pro" w:cs="Arial"/>
                <w:b/>
                <w:color w:val="FFFFFF"/>
                <w:lang w:eastAsia="zh-CN"/>
              </w:rPr>
              <w:t>8</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69FAB17D" w:rsidR="000D2471" w:rsidRPr="000D2471" w:rsidRDefault="000D2471" w:rsidP="00317231">
      <w:pPr>
        <w:suppressAutoHyphens/>
        <w:spacing w:after="0" w:line="240" w:lineRule="auto"/>
        <w:ind w:right="88"/>
        <w:rPr>
          <w:rFonts w:ascii="DIN Pro" w:eastAsia="Times New Roman" w:hAnsi="DIN Pro" w:cs="Univers"/>
          <w:b/>
          <w:lang w:eastAsia="zh-CN"/>
        </w:rPr>
      </w:pP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18B2F625" w14:textId="658FDC6B" w:rsidR="00307477" w:rsidRPr="00307477" w:rsidRDefault="00307477" w:rsidP="00307477">
      <w:pPr>
        <w:suppressAutoHyphens/>
        <w:spacing w:after="0" w:line="240" w:lineRule="auto"/>
        <w:ind w:right="88"/>
        <w:jc w:val="center"/>
        <w:rPr>
          <w:rFonts w:ascii="DIN Pro" w:eastAsia="Times New Roman" w:hAnsi="DIN Pro" w:cs="Univers"/>
          <w:lang w:eastAsia="zh-CN"/>
        </w:rPr>
      </w:pPr>
      <w:r w:rsidRPr="00307477">
        <w:rPr>
          <w:rFonts w:ascii="DIN Pro" w:eastAsia="Times New Roman" w:hAnsi="DIN Pro" w:cs="Univers"/>
          <w:lang w:eastAsia="zh-CN"/>
        </w:rPr>
        <w:t>.</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317231" w:rsidRDefault="00BD447D" w:rsidP="009E1061">
            <w:pPr>
              <w:spacing w:before="120" w:after="120"/>
              <w:ind w:right="88"/>
              <w:jc w:val="center"/>
              <w:rPr>
                <w:rFonts w:ascii="DIN Pro" w:hAnsi="DIN Pro" w:cs="Univers"/>
                <w:b/>
                <w:bCs/>
                <w:sz w:val="26"/>
                <w:szCs w:val="26"/>
                <w:lang w:eastAsia="zh-CN"/>
              </w:rPr>
            </w:pPr>
            <w:r w:rsidRPr="00317231">
              <w:rPr>
                <w:rFonts w:ascii="DIN Pro" w:hAnsi="DIN Pro" w:cs="Univers"/>
                <w:b/>
                <w:bCs/>
                <w:sz w:val="26"/>
                <w:szCs w:val="26"/>
                <w:lang w:eastAsia="zh-CN"/>
              </w:rPr>
              <w:t>OBJET DU MARCHÉ :</w:t>
            </w:r>
          </w:p>
          <w:p w14:paraId="19D8BDB0" w14:textId="77777777" w:rsidR="0066597B" w:rsidRPr="0066597B" w:rsidRDefault="0066597B" w:rsidP="0066597B">
            <w:pPr>
              <w:widowControl w:val="0"/>
              <w:autoSpaceDE w:val="0"/>
              <w:autoSpaceDN w:val="0"/>
              <w:ind w:right="58"/>
              <w:jc w:val="center"/>
              <w:rPr>
                <w:rFonts w:ascii="Arial" w:hAnsi="Arial MT" w:cs="Arial MT"/>
                <w:b/>
              </w:rPr>
            </w:pPr>
            <w:r w:rsidRPr="0066597B">
              <w:rPr>
                <w:rFonts w:ascii="Arial" w:hAnsi="Arial MT" w:cs="Arial MT"/>
                <w:b/>
                <w:spacing w:val="-2"/>
              </w:rPr>
              <w:t>PRESTATIONS</w:t>
            </w:r>
            <w:r w:rsidRPr="0066597B">
              <w:rPr>
                <w:rFonts w:ascii="Arial" w:hAnsi="Arial MT" w:cs="Arial MT"/>
                <w:b/>
                <w:spacing w:val="-3"/>
              </w:rPr>
              <w:t xml:space="preserve"> </w:t>
            </w:r>
            <w:r w:rsidRPr="0066597B">
              <w:rPr>
                <w:rFonts w:ascii="Arial" w:hAnsi="Arial MT" w:cs="Arial MT"/>
                <w:b/>
                <w:spacing w:val="-2"/>
              </w:rPr>
              <w:t>DE</w:t>
            </w:r>
            <w:r w:rsidRPr="0066597B">
              <w:rPr>
                <w:rFonts w:ascii="Arial" w:hAnsi="Arial MT" w:cs="Arial MT"/>
                <w:b/>
                <w:spacing w:val="-1"/>
              </w:rPr>
              <w:t xml:space="preserve"> </w:t>
            </w:r>
            <w:r w:rsidRPr="0066597B">
              <w:rPr>
                <w:rFonts w:ascii="Arial" w:hAnsi="Arial MT" w:cs="Arial MT"/>
                <w:b/>
                <w:spacing w:val="-2"/>
              </w:rPr>
              <w:t>MAGASINAGE</w:t>
            </w:r>
          </w:p>
          <w:p w14:paraId="2AF1C601" w14:textId="77777777" w:rsidR="0066597B" w:rsidRPr="0066597B" w:rsidRDefault="0066597B" w:rsidP="0066597B">
            <w:pPr>
              <w:widowControl w:val="0"/>
              <w:autoSpaceDE w:val="0"/>
              <w:autoSpaceDN w:val="0"/>
              <w:spacing w:before="4"/>
              <w:rPr>
                <w:rFonts w:ascii="Arial" w:hAnsi="Arial MT" w:cs="Arial MT"/>
                <w:b/>
              </w:rPr>
            </w:pPr>
          </w:p>
          <w:p w14:paraId="1845EFA1" w14:textId="77777777" w:rsidR="0066597B" w:rsidRPr="0066597B" w:rsidRDefault="0066597B" w:rsidP="0066597B">
            <w:pPr>
              <w:widowControl w:val="0"/>
              <w:autoSpaceDE w:val="0"/>
              <w:autoSpaceDN w:val="0"/>
              <w:spacing w:before="1"/>
              <w:ind w:left="3" w:right="58"/>
              <w:jc w:val="center"/>
              <w:rPr>
                <w:rFonts w:ascii="Arial" w:hAnsi="Arial" w:cs="Arial MT"/>
                <w:b/>
              </w:rPr>
            </w:pPr>
            <w:r w:rsidRPr="0066597B">
              <w:rPr>
                <w:rFonts w:ascii="Arial" w:hAnsi="Arial" w:cs="Arial MT"/>
                <w:b/>
              </w:rPr>
              <w:t>POUR LE</w:t>
            </w:r>
            <w:r w:rsidRPr="0066597B">
              <w:rPr>
                <w:rFonts w:ascii="Arial" w:hAnsi="Arial" w:cs="Arial MT"/>
                <w:b/>
                <w:spacing w:val="-15"/>
              </w:rPr>
              <w:t xml:space="preserve"> </w:t>
            </w:r>
            <w:r w:rsidRPr="0066597B">
              <w:rPr>
                <w:rFonts w:ascii="Arial" w:hAnsi="Arial" w:cs="Arial MT"/>
                <w:b/>
              </w:rPr>
              <w:t>CENTRE</w:t>
            </w:r>
            <w:r w:rsidRPr="0066597B">
              <w:rPr>
                <w:rFonts w:ascii="Arial" w:hAnsi="Arial" w:cs="Arial MT"/>
                <w:b/>
                <w:spacing w:val="-13"/>
              </w:rPr>
              <w:t xml:space="preserve"> </w:t>
            </w:r>
            <w:r w:rsidRPr="0066597B">
              <w:rPr>
                <w:rFonts w:ascii="Arial" w:hAnsi="Arial" w:cs="Arial MT"/>
                <w:b/>
              </w:rPr>
              <w:t>D’ARCHIVES</w:t>
            </w:r>
            <w:r w:rsidRPr="0066597B">
              <w:rPr>
                <w:rFonts w:ascii="Arial" w:hAnsi="Arial" w:cs="Arial MT"/>
                <w:b/>
                <w:spacing w:val="-13"/>
              </w:rPr>
              <w:t xml:space="preserve"> </w:t>
            </w:r>
            <w:r w:rsidRPr="0066597B">
              <w:rPr>
                <w:rFonts w:ascii="Arial" w:hAnsi="Arial" w:cs="Arial MT"/>
                <w:b/>
              </w:rPr>
              <w:t>D’ARCHITECTURE</w:t>
            </w:r>
            <w:r w:rsidRPr="0066597B">
              <w:rPr>
                <w:rFonts w:ascii="Arial" w:hAnsi="Arial" w:cs="Arial MT"/>
                <w:b/>
                <w:spacing w:val="-12"/>
              </w:rPr>
              <w:t xml:space="preserve"> </w:t>
            </w:r>
            <w:r w:rsidRPr="0066597B">
              <w:rPr>
                <w:rFonts w:ascii="Arial" w:hAnsi="Arial" w:cs="Arial MT"/>
                <w:b/>
                <w:spacing w:val="-2"/>
              </w:rPr>
              <w:t>CONTEMPORAINE DE LA CITÉ DE L’ARCHITECTURE ET DU PATRIMOINE</w:t>
            </w:r>
          </w:p>
          <w:p w14:paraId="2FF3C0A0" w14:textId="337E92F6" w:rsidR="00BD447D" w:rsidRDefault="00BD447D" w:rsidP="00CF3DBC">
            <w:pPr>
              <w:jc w:val="center"/>
              <w:rPr>
                <w:rFonts w:ascii="DIN Pro" w:hAnsi="DIN Pro"/>
                <w:b/>
                <w:bCs/>
                <w:color w:val="000000" w:themeColor="text1"/>
                <w:sz w:val="32"/>
                <w:szCs w:val="32"/>
                <w14:textOutline w14:w="0" w14:cap="flat" w14:cmpd="sng" w14:algn="ctr">
                  <w14:noFill/>
                  <w14:prstDash w14:val="solid"/>
                  <w14:round/>
                </w14:textOutline>
              </w:rPr>
            </w:pPr>
          </w:p>
          <w:p w14:paraId="20DDE650" w14:textId="2557AF7B" w:rsidR="00307477" w:rsidRPr="00BC6239" w:rsidRDefault="00307477"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079580A" w14:textId="108DA9E1" w:rsidR="00317231" w:rsidRPr="00317231" w:rsidRDefault="0066597B" w:rsidP="00317231">
      <w:pPr>
        <w:spacing w:line="276" w:lineRule="auto"/>
        <w:jc w:val="both"/>
        <w:rPr>
          <w:rFonts w:ascii="DIN Pro" w:hAnsi="DIN Pro"/>
          <w:szCs w:val="20"/>
        </w:rPr>
      </w:pPr>
      <w:r>
        <w:rPr>
          <w:rFonts w:ascii="DIN Pro" w:eastAsia="Times New Roman" w:hAnsi="DIN Pro" w:cs="Arial"/>
          <w:lang w:eastAsia="zh-CN"/>
        </w:rPr>
        <w:t>Le présent marché</w:t>
      </w:r>
      <w:r w:rsidR="00307477" w:rsidRPr="00307477">
        <w:rPr>
          <w:rFonts w:ascii="DIN Pro" w:eastAsia="Times New Roman" w:hAnsi="DIN Pro" w:cs="Arial"/>
          <w:lang w:eastAsia="zh-CN"/>
        </w:rPr>
        <w:t xml:space="preserve"> </w:t>
      </w:r>
      <w:r w:rsidR="00317231" w:rsidRPr="00317231">
        <w:rPr>
          <w:rFonts w:ascii="DIN Pro" w:eastAsia="Times New Roman" w:hAnsi="DIN Pro" w:cs="Arial"/>
          <w:lang w:eastAsia="zh-CN"/>
        </w:rPr>
        <w:t xml:space="preserve">a </w:t>
      </w:r>
      <w:r w:rsidR="00317231" w:rsidRPr="00317231">
        <w:rPr>
          <w:rFonts w:ascii="DIN Pro" w:hAnsi="DIN Pro"/>
          <w:szCs w:val="20"/>
        </w:rPr>
        <w:t>pour</w:t>
      </w:r>
      <w:r w:rsidR="00317231" w:rsidRPr="00317231">
        <w:rPr>
          <w:rFonts w:ascii="DIN Pro" w:hAnsi="DIN Pro"/>
          <w:szCs w:val="20"/>
        </w:rPr>
        <w:t xml:space="preserve"> objet la réalisation de prestations de magasinage au Centre d’archives d’architecture contemporaine, afin d’assurer la communication des fonds au public et, plus largement, leur exploitation, ainsi que de procéder à des conditionnements ou reconditionnements simples d’archives.</w:t>
      </w:r>
    </w:p>
    <w:p w14:paraId="7F1408C1" w14:textId="6630AD30" w:rsidR="00317231" w:rsidRPr="00317231" w:rsidRDefault="00317231" w:rsidP="00317231">
      <w:pPr>
        <w:spacing w:line="276" w:lineRule="auto"/>
        <w:jc w:val="both"/>
        <w:rPr>
          <w:rFonts w:ascii="DIN Pro" w:hAnsi="DIN Pro"/>
          <w:szCs w:val="20"/>
        </w:rPr>
      </w:pPr>
      <w:r w:rsidRPr="00317231">
        <w:rPr>
          <w:rFonts w:ascii="DIN Pro" w:hAnsi="DIN Pro"/>
          <w:szCs w:val="20"/>
        </w:rPr>
        <w:t>Le centre conserve des archives classiques en boîtes, mais aussi des plans (en rouleaux, en pochettes souples, en cartons à dessins ou en boîtes plates de grand format), des photographies, des maquettes.</w:t>
      </w:r>
    </w:p>
    <w:p w14:paraId="6BBCE822" w14:textId="7470E506" w:rsidR="00BD447D" w:rsidRPr="00317231" w:rsidRDefault="00317231" w:rsidP="00317231">
      <w:pPr>
        <w:spacing w:line="276" w:lineRule="auto"/>
        <w:jc w:val="both"/>
        <w:rPr>
          <w:rFonts w:ascii="DIN Pro" w:hAnsi="DIN Pro"/>
          <w:szCs w:val="20"/>
        </w:rPr>
      </w:pPr>
      <w:r w:rsidRPr="00317231">
        <w:rPr>
          <w:rFonts w:ascii="DIN Pro" w:hAnsi="DIN Pro"/>
          <w:szCs w:val="20"/>
        </w:rPr>
        <w:t>La description des prestations, leurs spécifications techniques détaillées et les résultats attendus sont définis au cahier des clauses particulières (CCP).</w:t>
      </w: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13B72C" w14:textId="2A0F082C" w:rsidR="00BD447D" w:rsidRPr="00BC6239" w:rsidRDefault="00D43EC2" w:rsidP="0031723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43ACE">
        <w:rPr>
          <w:rFonts w:ascii="DIN Pro" w:eastAsia="Times New Roman" w:hAnsi="DIN Pro" w:cs="Arial"/>
          <w:b/>
          <w:bCs/>
          <w:lang w:eastAsia="zh-CN"/>
        </w:rPr>
      </w:r>
      <w:r w:rsidR="00943ACE">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43ACE">
        <w:rPr>
          <w:rFonts w:ascii="DIN Pro" w:eastAsia="Times New Roman" w:hAnsi="DIN Pro" w:cs="Arial"/>
          <w:b/>
          <w:bCs/>
          <w:lang w:eastAsia="zh-CN"/>
        </w:rPr>
      </w:r>
      <w:r w:rsidR="00943ACE">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lastRenderedPageBreak/>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43ACE">
        <w:rPr>
          <w:rFonts w:ascii="DIN Pro" w:eastAsia="Times New Roman" w:hAnsi="DIN Pro" w:cs="Arial"/>
          <w:b/>
          <w:bCs/>
          <w:lang w:eastAsia="zh-CN"/>
        </w:rPr>
      </w:r>
      <w:r w:rsidR="00943ACE">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44660315" w:rsidR="00BD447D" w:rsidRPr="00BC6239" w:rsidRDefault="00BD447D" w:rsidP="0031723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 xml:space="preserve">du cahier des clauses </w:t>
      </w:r>
      <w:r w:rsidR="00307477">
        <w:rPr>
          <w:rFonts w:ascii="DIN Pro" w:eastAsia="Times New Roman" w:hAnsi="DIN Pro" w:cs="Arial"/>
          <w:lang w:eastAsia="zh-CN"/>
        </w:rPr>
        <w:t>particulières (CC</w:t>
      </w:r>
      <w:r w:rsidRPr="00BC6239">
        <w:rPr>
          <w:rFonts w:ascii="DIN Pro" w:eastAsia="Times New Roman" w:hAnsi="DIN Pro" w:cs="Arial"/>
          <w:lang w:eastAsia="zh-CN"/>
        </w:rPr>
        <w:t>P), et leurs annexes,</w:t>
      </w:r>
    </w:p>
    <w:p w14:paraId="2DEFD4BE" w14:textId="77777777" w:rsidR="00BD447D" w:rsidRPr="00BC6239" w:rsidRDefault="00BD447D" w:rsidP="0031723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31723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06F5D30C"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317231">
        <w:rPr>
          <w:rFonts w:ascii="DIN Pro" w:eastAsia="Times New Roman" w:hAnsi="DIN Pro" w:cs="Arial"/>
          <w:lang w:eastAsia="zh-CN"/>
        </w:rPr>
        <w:t xml:space="preserve">10 </w:t>
      </w:r>
      <w:r w:rsidR="00D43EC2">
        <w:rPr>
          <w:rFonts w:ascii="DIN Pro" w:eastAsia="Times New Roman" w:hAnsi="DIN Pro" w:cs="Arial"/>
          <w:lang w:eastAsia="zh-CN"/>
        </w:rPr>
        <w:t xml:space="preserve">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Default="00BD447D" w:rsidP="009E1061">
      <w:pPr>
        <w:suppressAutoHyphens/>
        <w:spacing w:after="0" w:line="240" w:lineRule="auto"/>
        <w:ind w:right="88"/>
        <w:rPr>
          <w:rFonts w:ascii="DIN Pro" w:eastAsia="Times New Roman" w:hAnsi="DIN Pro" w:cs="Arial"/>
          <w:lang w:eastAsia="zh-CN"/>
        </w:rPr>
      </w:pPr>
      <w:bookmarkStart w:id="2" w:name="CaseACocher108"/>
    </w:p>
    <w:p w14:paraId="6A394B03" w14:textId="77777777" w:rsidR="00317231" w:rsidRDefault="00317231" w:rsidP="009E1061">
      <w:pPr>
        <w:suppressAutoHyphens/>
        <w:spacing w:after="0" w:line="240" w:lineRule="auto"/>
        <w:ind w:right="88"/>
        <w:rPr>
          <w:rFonts w:ascii="DIN Pro" w:eastAsia="Times New Roman" w:hAnsi="DIN Pro" w:cs="Arial"/>
          <w:lang w:eastAsia="zh-CN"/>
        </w:rPr>
      </w:pPr>
    </w:p>
    <w:p w14:paraId="14C40BCD" w14:textId="77777777" w:rsidR="00317231" w:rsidRDefault="00317231" w:rsidP="009E1061">
      <w:pPr>
        <w:suppressAutoHyphens/>
        <w:spacing w:after="0" w:line="240" w:lineRule="auto"/>
        <w:ind w:right="88"/>
        <w:rPr>
          <w:rFonts w:ascii="DIN Pro" w:eastAsia="Times New Roman" w:hAnsi="DIN Pro" w:cs="Arial"/>
          <w:lang w:eastAsia="zh-CN"/>
        </w:rPr>
      </w:pPr>
    </w:p>
    <w:p w14:paraId="2EC19176" w14:textId="77777777" w:rsidR="00317231" w:rsidRDefault="00317231" w:rsidP="009E1061">
      <w:pPr>
        <w:suppressAutoHyphens/>
        <w:spacing w:after="0" w:line="240" w:lineRule="auto"/>
        <w:ind w:right="88"/>
        <w:rPr>
          <w:rFonts w:ascii="DIN Pro" w:eastAsia="Times New Roman" w:hAnsi="DIN Pro" w:cs="Arial"/>
          <w:lang w:eastAsia="zh-CN"/>
        </w:rPr>
      </w:pPr>
    </w:p>
    <w:p w14:paraId="4AAAF019" w14:textId="77777777" w:rsidR="00317231" w:rsidRDefault="00317231" w:rsidP="009E1061">
      <w:pPr>
        <w:suppressAutoHyphens/>
        <w:spacing w:after="0" w:line="240" w:lineRule="auto"/>
        <w:ind w:right="88"/>
        <w:rPr>
          <w:rFonts w:ascii="DIN Pro" w:eastAsia="Times New Roman" w:hAnsi="DIN Pro" w:cs="Arial"/>
          <w:lang w:eastAsia="zh-CN"/>
        </w:rPr>
      </w:pPr>
    </w:p>
    <w:p w14:paraId="4A7E53C9" w14:textId="77777777" w:rsidR="00317231" w:rsidRPr="00BC6239" w:rsidRDefault="00317231" w:rsidP="009E1061">
      <w:pPr>
        <w:suppressAutoHyphens/>
        <w:spacing w:after="0" w:line="240" w:lineRule="auto"/>
        <w:ind w:right="88"/>
        <w:rPr>
          <w:rFonts w:ascii="DIN Pro" w:eastAsia="Times New Roman" w:hAnsi="DIN Pro" w:cs="Arial"/>
          <w:lang w:eastAsia="zh-CN"/>
        </w:rPr>
      </w:pPr>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lastRenderedPageBreak/>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43ACE">
        <w:rPr>
          <w:rFonts w:ascii="DIN Pro" w:eastAsia="Times New Roman" w:hAnsi="DIN Pro" w:cs="Arial"/>
          <w:b/>
          <w:bCs/>
          <w:lang w:eastAsia="zh-CN"/>
        </w:rPr>
      </w:r>
      <w:r w:rsidR="00943ACE">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943ACE">
        <w:rPr>
          <w:rFonts w:ascii="DIN Pro" w:eastAsia="Times New Roman" w:hAnsi="DIN Pro" w:cs="Arial"/>
          <w:lang w:eastAsia="zh-CN"/>
        </w:rPr>
      </w:r>
      <w:r w:rsidR="00943ACE">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943ACE">
        <w:rPr>
          <w:rFonts w:ascii="DIN Pro" w:eastAsia="Times New Roman" w:hAnsi="DIN Pro" w:cs="Arial"/>
          <w:lang w:eastAsia="zh-CN"/>
        </w:rPr>
      </w:r>
      <w:r w:rsidR="00943ACE">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943ACE">
        <w:rPr>
          <w:rFonts w:ascii="DIN Pro" w:eastAsia="Times New Roman" w:hAnsi="DIN Pro" w:cs="Arial"/>
          <w:lang w:eastAsia="zh-CN"/>
        </w:rPr>
      </w:r>
      <w:r w:rsidR="00943ACE">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943ACE">
        <w:rPr>
          <w:rFonts w:ascii="DIN Pro" w:eastAsia="Times New Roman" w:hAnsi="DIN Pro" w:cs="Arial"/>
          <w:lang w:eastAsia="zh-CN"/>
        </w:rPr>
      </w:r>
      <w:r w:rsidR="00943ACE">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36EBAB9A" w:rsidR="00BD447D" w:rsidRPr="00BC6239" w:rsidRDefault="00BD447D" w:rsidP="0031723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003C10F3">
        <w:rPr>
          <w:rFonts w:ascii="DIN Pro" w:eastAsia="Times New Roman" w:hAnsi="DIN Pro" w:cs="Arial"/>
          <w:lang w:eastAsia="zh-CN"/>
        </w:rPr>
        <w:t>du cahier des clauses particulières (CC</w:t>
      </w:r>
      <w:r w:rsidRPr="00BC6239">
        <w:rPr>
          <w:rFonts w:ascii="DIN Pro" w:eastAsia="Times New Roman" w:hAnsi="DIN Pro" w:cs="Arial"/>
          <w:lang w:eastAsia="zh-CN"/>
        </w:rPr>
        <w:t>P), et des annexes,</w:t>
      </w:r>
    </w:p>
    <w:p w14:paraId="4FC86301" w14:textId="77777777" w:rsidR="00BD447D" w:rsidRPr="00BC6239" w:rsidRDefault="00BD447D" w:rsidP="0031723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31723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638FD3BF" w14:textId="6B611F1B"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66597B">
        <w:rPr>
          <w:rFonts w:ascii="DIN Pro" w:eastAsia="Times New Roman" w:hAnsi="DIN Pro" w:cs="Arial"/>
          <w:lang w:eastAsia="zh-CN"/>
        </w:rPr>
        <w:t>10</w:t>
      </w:r>
      <w:r w:rsidR="00B40162">
        <w:rPr>
          <w:rFonts w:ascii="DIN Pro" w:eastAsia="Times New Roman" w:hAnsi="DIN Pro" w:cs="Arial"/>
          <w:lang w:eastAsia="zh-CN"/>
        </w:rPr>
        <w:t xml:space="preserve"> </w:t>
      </w:r>
      <w:r w:rsidR="00D43EC2">
        <w:rPr>
          <w:rFonts w:ascii="DIN Pro" w:eastAsia="Times New Roman" w:hAnsi="DIN Pro" w:cs="Arial"/>
          <w:lang w:eastAsia="zh-CN"/>
        </w:rPr>
        <w:t xml:space="preserve">du </w:t>
      </w:r>
      <w:r w:rsidRPr="00BC6239">
        <w:rPr>
          <w:rFonts w:ascii="DIN Pro" w:eastAsia="Times New Roman" w:hAnsi="DIN Pro" w:cs="Arial"/>
          <w:lang w:eastAsia="zh-CN"/>
        </w:rPr>
        <w:t>règlement de la consultation (RC).</w:t>
      </w: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583A8EDE"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r w:rsidR="00317231">
              <w:rPr>
                <w:rFonts w:ascii="DIN Pro" w:eastAsia="Times New Roman" w:hAnsi="DIN Pro" w:cs="Arial"/>
                <w:b/>
                <w:lang w:eastAsia="zh-CN"/>
              </w:rPr>
              <w:t xml:space="preserve"> de l’accord-cadre</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1EBC6DD" w14:textId="1BFFD9B4" w:rsidR="00F86891"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Montant</w:t>
      </w:r>
      <w:r w:rsidR="003C10F3">
        <w:rPr>
          <w:rFonts w:ascii="DIN Pro" w:eastAsia="Times New Roman" w:hAnsi="DIN Pro" w:cs="Arial"/>
          <w:b/>
          <w:lang w:eastAsia="zh-CN"/>
        </w:rPr>
        <w:t xml:space="preserve"> </w:t>
      </w:r>
    </w:p>
    <w:p w14:paraId="7AE0802C" w14:textId="62C7C6F5" w:rsidR="00F86891" w:rsidRPr="00F86891" w:rsidRDefault="004A359C" w:rsidP="00317231">
      <w:pPr>
        <w:tabs>
          <w:tab w:val="left" w:pos="426"/>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L</w:t>
      </w:r>
      <w:r w:rsidR="00317231">
        <w:rPr>
          <w:rFonts w:ascii="DIN Pro" w:eastAsia="Times New Roman" w:hAnsi="DIN Pro" w:cs="Arial"/>
          <w:lang w:eastAsia="zh-CN"/>
        </w:rPr>
        <w:t xml:space="preserve">’accord-cadre est </w:t>
      </w:r>
      <w:r w:rsidR="00F86891" w:rsidRPr="00F86891">
        <w:rPr>
          <w:rFonts w:ascii="DIN Pro" w:eastAsia="Times New Roman" w:hAnsi="DIN Pro" w:cs="Arial"/>
          <w:lang w:eastAsia="zh-CN"/>
        </w:rPr>
        <w:t xml:space="preserve">traité à </w:t>
      </w:r>
      <w:r>
        <w:rPr>
          <w:rFonts w:ascii="DIN Pro" w:eastAsia="Times New Roman" w:hAnsi="DIN Pro" w:cs="Arial"/>
          <w:lang w:eastAsia="zh-CN"/>
        </w:rPr>
        <w:t>bons de commandes</w:t>
      </w:r>
      <w:r w:rsidR="005D1960">
        <w:rPr>
          <w:rFonts w:ascii="DIN Pro" w:eastAsia="Times New Roman" w:hAnsi="DIN Pro" w:cs="Arial"/>
          <w:lang w:eastAsia="zh-CN"/>
        </w:rPr>
        <w:t>, selon les prix indiqués au B</w:t>
      </w:r>
      <w:r w:rsidR="00F86891">
        <w:rPr>
          <w:rFonts w:ascii="DIN Pro" w:eastAsia="Times New Roman" w:hAnsi="DIN Pro" w:cs="Arial"/>
          <w:lang w:eastAsia="zh-CN"/>
        </w:rPr>
        <w:t>ordereau des Prix Unitaires (</w:t>
      </w:r>
      <w:r w:rsidR="00317231">
        <w:rPr>
          <w:rFonts w:ascii="DIN Pro" w:eastAsia="Times New Roman" w:hAnsi="DIN Pro" w:cs="Arial"/>
          <w:lang w:eastAsia="zh-CN"/>
        </w:rPr>
        <w:t>BPU) annexé</w:t>
      </w:r>
      <w:r w:rsidR="00F86891">
        <w:rPr>
          <w:rFonts w:ascii="DIN Pro" w:eastAsia="Times New Roman" w:hAnsi="DIN Pro" w:cs="Arial"/>
          <w:lang w:eastAsia="zh-CN"/>
        </w:rPr>
        <w:t xml:space="preserve"> au présent acte d’engagement.</w:t>
      </w:r>
    </w:p>
    <w:p w14:paraId="27F65FF3" w14:textId="414F98DF" w:rsidR="00185CF0" w:rsidRDefault="004A359C" w:rsidP="0031723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w:t>
      </w:r>
      <w:r w:rsidR="00317231">
        <w:rPr>
          <w:rFonts w:ascii="DIN Pro" w:eastAsia="Times New Roman" w:hAnsi="DIN Pro" w:cs="Arial"/>
          <w:lang w:eastAsia="zh-CN"/>
        </w:rPr>
        <w:t>’accord-cadre</w:t>
      </w:r>
      <w:r w:rsidR="005D1960">
        <w:rPr>
          <w:rFonts w:ascii="DIN Pro" w:eastAsia="Times New Roman" w:hAnsi="DIN Pro" w:cs="Arial"/>
          <w:lang w:eastAsia="zh-CN"/>
        </w:rPr>
        <w:t xml:space="preserve"> est conclu sans montant minimum et avec un </w:t>
      </w:r>
      <w:r w:rsidR="005D1960" w:rsidRPr="005D1960">
        <w:rPr>
          <w:rFonts w:ascii="DIN Pro" w:eastAsia="Times New Roman" w:hAnsi="DIN Pro" w:cs="Arial"/>
          <w:lang w:eastAsia="zh-CN"/>
        </w:rPr>
        <w:t xml:space="preserve">montant maximum </w:t>
      </w:r>
      <w:r w:rsidR="005D1960">
        <w:rPr>
          <w:rFonts w:ascii="DIN Pro" w:eastAsia="Times New Roman" w:hAnsi="DIN Pro" w:cs="Arial"/>
          <w:lang w:eastAsia="zh-CN"/>
        </w:rPr>
        <w:t>de</w:t>
      </w:r>
      <w:r w:rsidR="005D1960" w:rsidRPr="005D1960">
        <w:rPr>
          <w:rFonts w:ascii="DIN Pro" w:eastAsia="Times New Roman" w:hAnsi="DIN Pro" w:cs="Arial"/>
          <w:lang w:eastAsia="zh-CN"/>
        </w:rPr>
        <w:t xml:space="preserve"> </w:t>
      </w:r>
      <w:r w:rsidR="0066597B">
        <w:rPr>
          <w:rFonts w:ascii="DIN Pro" w:eastAsia="Times New Roman" w:hAnsi="DIN Pro" w:cs="Arial"/>
          <w:lang w:eastAsia="zh-CN"/>
        </w:rPr>
        <w:t>166</w:t>
      </w:r>
      <w:r>
        <w:rPr>
          <w:rFonts w:ascii="DIN Pro" w:eastAsia="Times New Roman" w:hAnsi="DIN Pro" w:cs="Arial"/>
          <w:lang w:eastAsia="zh-CN"/>
        </w:rPr>
        <w:t xml:space="preserve"> 000</w:t>
      </w:r>
      <w:r w:rsidR="005D1960" w:rsidRPr="005D1960">
        <w:rPr>
          <w:rFonts w:ascii="DIN Pro" w:eastAsia="Times New Roman" w:hAnsi="DIN Pro" w:cs="Arial"/>
          <w:lang w:eastAsia="zh-CN"/>
        </w:rPr>
        <w:t xml:space="preserve"> € HT sur la durée totale du marché</w:t>
      </w:r>
      <w:r w:rsidR="005D1960">
        <w:rPr>
          <w:rFonts w:ascii="DIN Pro" w:eastAsia="Times New Roman" w:hAnsi="DIN Pro" w:cs="Arial"/>
          <w:lang w:eastAsia="zh-CN"/>
        </w:rPr>
        <w:t>.</w:t>
      </w:r>
    </w:p>
    <w:p w14:paraId="150D76E9" w14:textId="77777777" w:rsidR="00D43EC2" w:rsidRPr="00BC6239" w:rsidRDefault="00D43EC2" w:rsidP="0031723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31723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18B5E1B0"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49FCBC5" w14:textId="02089272" w:rsidR="004A359C" w:rsidRDefault="004A359C"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DE6CFE5" w14:textId="6B8584CE" w:rsidR="004A359C" w:rsidRDefault="004A359C"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w:t>
      </w:r>
      <w:r w:rsidRPr="00BC6239">
        <w:rPr>
          <w:rFonts w:ascii="DIN Pro" w:eastAsia="Times New Roman" w:hAnsi="DIN Pro" w:cs="Arial"/>
          <w:b/>
          <w:lang w:eastAsia="zh-CN"/>
        </w:rPr>
        <w:lastRenderedPageBreak/>
        <w:t>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2C833F8E" w14:textId="25A86B9F" w:rsidR="007556C6" w:rsidRPr="00BC6239" w:rsidRDefault="00BD447D" w:rsidP="0031723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5750EFB9"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317231" w:rsidRPr="00BC6239">
              <w:rPr>
                <w:rFonts w:ascii="DIN Pro" w:eastAsia="Times New Roman" w:hAnsi="DIN Pro" w:cs="Arial"/>
                <w:b/>
                <w:lang w:eastAsia="zh-CN"/>
              </w:rPr>
              <w:t>7 –</w:t>
            </w:r>
            <w:r w:rsidRPr="00BC6239">
              <w:rPr>
                <w:rFonts w:ascii="DIN Pro" w:eastAsia="Times New Roman" w:hAnsi="DIN Pro" w:cs="Arial"/>
                <w:b/>
                <w:lang w:eastAsia="zh-CN"/>
              </w:rPr>
              <w:t xml:space="preserve"> Durée d</w:t>
            </w:r>
            <w:r w:rsidR="00317231">
              <w:rPr>
                <w:rFonts w:ascii="DIN Pro" w:eastAsia="Times New Roman" w:hAnsi="DIN Pro" w:cs="Arial"/>
                <w:b/>
                <w:lang w:eastAsia="zh-CN"/>
              </w:rPr>
              <w:t>e l’accord-cadre</w:t>
            </w:r>
          </w:p>
        </w:tc>
      </w:tr>
    </w:tbl>
    <w:p w14:paraId="3C9A538E" w14:textId="77777777" w:rsidR="00707546" w:rsidRPr="00BC6239" w:rsidRDefault="00707546" w:rsidP="00707546">
      <w:pPr>
        <w:spacing w:after="0" w:line="240" w:lineRule="auto"/>
        <w:rPr>
          <w:rFonts w:ascii="DIN Pro" w:eastAsia="Calibri" w:hAnsi="DIN Pro" w:cs="Arial"/>
        </w:rPr>
      </w:pPr>
    </w:p>
    <w:p w14:paraId="5A94BA13" w14:textId="2D5A2062" w:rsidR="00317231" w:rsidRPr="00C572FF" w:rsidRDefault="00317231" w:rsidP="00317231">
      <w:pPr>
        <w:pStyle w:val="Corpsdetexte2"/>
        <w:spacing w:line="276" w:lineRule="auto"/>
        <w:jc w:val="both"/>
        <w:rPr>
          <w:rFonts w:ascii="DIN Pro" w:hAnsi="DIN Pro"/>
        </w:rPr>
      </w:pPr>
      <w:r w:rsidRPr="00C572FF">
        <w:rPr>
          <w:rFonts w:ascii="DIN Pro" w:hAnsi="DIN Pro"/>
        </w:rPr>
        <w:t>L’</w:t>
      </w:r>
      <w:r w:rsidRPr="00C572FF">
        <w:rPr>
          <w:rFonts w:ascii="DIN Pro" w:hAnsi="DIN Pro"/>
        </w:rPr>
        <w:t>accord-cadre est conclu pour 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quatre mois avant la fin de la date anniversaire de l’accord-cadre.</w:t>
      </w:r>
    </w:p>
    <w:p w14:paraId="16B35754" w14:textId="77777777" w:rsidR="00317231" w:rsidRPr="00C572FF" w:rsidRDefault="00317231" w:rsidP="00317231">
      <w:pPr>
        <w:pStyle w:val="Corpsdetexte2"/>
        <w:spacing w:line="276" w:lineRule="auto"/>
        <w:jc w:val="both"/>
        <w:rPr>
          <w:rFonts w:ascii="DIN Pro" w:hAnsi="DIN Pro"/>
        </w:rPr>
      </w:pPr>
      <w:r w:rsidRPr="00C572FF">
        <w:rPr>
          <w:rFonts w:ascii="DIN Pro" w:hAnsi="DIN Pro"/>
        </w:rPr>
        <w:t>Dans ce cas, le titulaire reste cependant engagé jusqu’à la fin de la période en cours et ne peut prétendre à une quelconque indemnité, rémunération, etc…</w:t>
      </w:r>
    </w:p>
    <w:p w14:paraId="5B1C5ADF" w14:textId="0E56770E" w:rsidR="00F86891" w:rsidRPr="00317231" w:rsidRDefault="00317231" w:rsidP="00317231">
      <w:pPr>
        <w:pStyle w:val="Corpsdetexte2"/>
        <w:jc w:val="both"/>
      </w:pPr>
      <w:r w:rsidRPr="00C572FF">
        <w:rPr>
          <w:rFonts w:ascii="DIN Pro" w:hAnsi="DIN Pro"/>
        </w:rPr>
        <w:t>Le titulaire ne peut refuser la reconduction</w:t>
      </w:r>
      <w:r w:rsidRPr="0008356C">
        <w:t>.</w:t>
      </w: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3669FCB4"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317231" w:rsidRPr="00BC6239">
              <w:rPr>
                <w:rFonts w:ascii="DIN Pro" w:eastAsia="Times New Roman" w:hAnsi="DIN Pro" w:cs="Arial"/>
                <w:b/>
                <w:lang w:eastAsia="zh-CN"/>
              </w:rPr>
              <w:t>8 –</w:t>
            </w:r>
            <w:r w:rsidRPr="00BC6239">
              <w:rPr>
                <w:rFonts w:ascii="DIN Pro" w:eastAsia="Times New Roman" w:hAnsi="DIN Pro" w:cs="Arial"/>
                <w:b/>
                <w:lang w:eastAsia="zh-CN"/>
              </w:rPr>
              <w:t xml:space="preserve">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40A3187" w:rsidR="00BD447D" w:rsidRPr="00BC6239" w:rsidRDefault="00317231" w:rsidP="009E1061">
      <w:pPr>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La Cité de l’architecture et du patrimoine</w:t>
      </w:r>
      <w:r w:rsidR="00BD447D" w:rsidRPr="00BC6239">
        <w:rPr>
          <w:rFonts w:ascii="DIN Pro" w:eastAsia="Times New Roman" w:hAnsi="DIN Pro" w:cs="Arial"/>
          <w:lang w:eastAsia="zh-CN"/>
        </w:rPr>
        <w:t xml:space="preserve">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xml:space="preserve">- du compte ouvert au nom </w:t>
      </w:r>
      <w:proofErr w:type="gramStart"/>
      <w:r w:rsidRPr="00BC6239">
        <w:rPr>
          <w:rFonts w:ascii="DIN Pro" w:eastAsia="Times New Roman" w:hAnsi="DIN Pro" w:cs="Arial"/>
          <w:lang w:eastAsia="zh-CN"/>
        </w:rPr>
        <w:t>de:</w:t>
      </w:r>
      <w:proofErr w:type="gramEnd"/>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6A316C5C"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317231">
        <w:rPr>
          <w:rFonts w:ascii="DIN Pro" w:eastAsia="Times New Roman" w:hAnsi="DIN Pro" w:cs="Arial"/>
          <w:i/>
          <w:lang w:eastAsia="zh-CN"/>
        </w:rPr>
        <w:t>8</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lastRenderedPageBreak/>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5A8E12DB"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Article 8.</w:t>
      </w:r>
      <w:r w:rsidR="00317231">
        <w:rPr>
          <w:rFonts w:ascii="DIN Pro" w:eastAsia="Times New Roman" w:hAnsi="DIN Pro" w:cs="Arial"/>
          <w:b/>
          <w:lang w:eastAsia="zh-CN"/>
        </w:rPr>
        <w:t>3</w:t>
      </w:r>
      <w:r w:rsidRPr="00BC6239">
        <w:rPr>
          <w:rFonts w:ascii="DIN Pro" w:eastAsia="Times New Roman" w:hAnsi="DIN Pro" w:cs="Arial"/>
          <w:b/>
          <w:lang w:eastAsia="zh-CN"/>
        </w:rPr>
        <w:t xml:space="preserve">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proofErr w:type="gramStart"/>
      <w:r w:rsidRPr="00BC6239">
        <w:rPr>
          <w:rFonts w:ascii="DIN Pro" w:eastAsia="Times New Roman" w:hAnsi="DIN Pro" w:cs="Arial"/>
          <w:lang w:eastAsia="zh-CN"/>
        </w:rPr>
        <w:t>conjoint</w:t>
      </w:r>
      <w:proofErr w:type="gramEnd"/>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proofErr w:type="gramStart"/>
            <w:r w:rsidRPr="00BC6239">
              <w:rPr>
                <w:rFonts w:ascii="DIN Pro" w:eastAsia="Times New Roman" w:hAnsi="DIN Pro" w:cs="Arial"/>
                <w:b/>
                <w:lang w:eastAsia="zh-CN"/>
              </w:rPr>
              <w:t>du</w:t>
            </w:r>
            <w:proofErr w:type="gramEnd"/>
            <w:r w:rsidRPr="00BC6239">
              <w:rPr>
                <w:rFonts w:ascii="DIN Pro" w:eastAsia="Times New Roman" w:hAnsi="DIN Pro" w:cs="Arial"/>
                <w:b/>
                <w:lang w:eastAsia="zh-CN"/>
              </w:rPr>
              <w:t xml:space="preserve">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proofErr w:type="gramStart"/>
            <w:r w:rsidRPr="00BC6239">
              <w:rPr>
                <w:rFonts w:ascii="DIN Pro" w:eastAsia="Times New Roman" w:hAnsi="DIN Pro" w:cs="Arial"/>
                <w:b/>
                <w:lang w:eastAsia="zh-CN"/>
              </w:rPr>
              <w:t>du</w:t>
            </w:r>
            <w:proofErr w:type="gramEnd"/>
            <w:r w:rsidRPr="00BC6239">
              <w:rPr>
                <w:rFonts w:ascii="DIN Pro" w:eastAsia="Times New Roman" w:hAnsi="DIN Pro" w:cs="Arial"/>
                <w:b/>
                <w:lang w:eastAsia="zh-CN"/>
              </w:rPr>
              <w:t xml:space="preserve">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proofErr w:type="gramStart"/>
            <w:r w:rsidRPr="00BC6239">
              <w:rPr>
                <w:rFonts w:ascii="DIN Pro" w:eastAsia="Times New Roman" w:hAnsi="DIN Pro" w:cs="Arial"/>
                <w:b/>
                <w:lang w:eastAsia="zh-CN"/>
              </w:rPr>
              <w:t>de</w:t>
            </w:r>
            <w:proofErr w:type="gramEnd"/>
            <w:r w:rsidRPr="00BC6239">
              <w:rPr>
                <w:rFonts w:ascii="DIN Pro" w:eastAsia="Times New Roman" w:hAnsi="DIN Pro" w:cs="Arial"/>
                <w:b/>
                <w:lang w:eastAsia="zh-CN"/>
              </w:rPr>
              <w:t xml:space="preserv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317231">
            <w:pPr>
              <w:tabs>
                <w:tab w:val="left" w:pos="851"/>
              </w:tabs>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BC6239">
              <w:rPr>
                <w:rFonts w:ascii="DIN Pro" w:eastAsia="Times New Roman" w:hAnsi="DIN Pro" w:cs="Arial"/>
                <w:b/>
                <w:bCs/>
                <w:lang w:eastAsia="zh-CN"/>
              </w:rPr>
              <w:t>du</w:t>
            </w:r>
            <w:proofErr w:type="gramEnd"/>
            <w:r w:rsidRPr="00BC6239">
              <w:rPr>
                <w:rFonts w:ascii="DIN Pro" w:eastAsia="Times New Roman" w:hAnsi="DIN Pro" w:cs="Arial"/>
                <w:b/>
                <w:bCs/>
                <w:lang w:eastAsia="zh-CN"/>
              </w:rPr>
              <w:t xml:space="preserve">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CF12FB">
        <w:trPr>
          <w:trHeight w:val="294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6E44187" w14:textId="77777777" w:rsidR="00317231"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59C9AF02" w14:textId="77777777" w:rsidR="00317231"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59E1186C" w14:textId="77777777" w:rsidR="00317231"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6FB5C16C" w14:textId="77777777" w:rsidR="00317231"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29DB44CA" w14:textId="77777777" w:rsidR="00317231"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5823C0FE" w14:textId="77777777" w:rsidR="00317231" w:rsidRPr="00BC6239" w:rsidRDefault="00317231" w:rsidP="009E1061">
      <w:pPr>
        <w:tabs>
          <w:tab w:val="left" w:pos="851"/>
        </w:tabs>
        <w:suppressAutoHyphens/>
        <w:spacing w:after="0" w:line="240" w:lineRule="auto"/>
        <w:ind w:right="88"/>
        <w:jc w:val="both"/>
        <w:rPr>
          <w:rFonts w:ascii="DIN Pro" w:eastAsia="Times New Roman" w:hAnsi="DIN Pro" w:cs="Arial"/>
          <w:lang w:eastAsia="zh-CN"/>
        </w:rPr>
      </w:pP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lastRenderedPageBreak/>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proofErr w:type="gramStart"/>
      <w:r w:rsidRPr="00BC6239">
        <w:rPr>
          <w:rFonts w:ascii="DIN Pro" w:eastAsia="Times New Roman" w:hAnsi="DIN Pro" w:cs="Arial"/>
          <w:lang w:eastAsia="zh-CN"/>
        </w:rPr>
        <w:t>conjoint</w:t>
      </w:r>
      <w:proofErr w:type="gramEnd"/>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43ACE">
        <w:rPr>
          <w:rFonts w:ascii="DIN Pro" w:eastAsia="Times New Roman" w:hAnsi="DIN Pro" w:cs="Univers"/>
          <w:lang w:eastAsia="zh-CN"/>
        </w:rPr>
      </w:r>
      <w:r w:rsidR="00943ACE">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45708CAC" w14:textId="77777777" w:rsidR="00665631" w:rsidRDefault="00665631" w:rsidP="00317231">
      <w:pPr>
        <w:tabs>
          <w:tab w:val="left" w:pos="851"/>
        </w:tabs>
        <w:suppressAutoHyphens/>
        <w:spacing w:after="0" w:line="240" w:lineRule="auto"/>
        <w:ind w:right="88"/>
        <w:rPr>
          <w:rFonts w:ascii="DIN Pro" w:eastAsia="Times New Roman" w:hAnsi="DIN Pro" w:cs="Arial"/>
          <w:i/>
          <w:lang w:eastAsia="zh-CN"/>
        </w:rPr>
      </w:pPr>
    </w:p>
    <w:p w14:paraId="677F2547"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2F266312"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7728B8E4"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612CA99E"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43ACFE9E"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42539116"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4BCFF46D"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6618DEF5"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015C32BA"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702778CE"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lastRenderedPageBreak/>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proofErr w:type="gramStart"/>
            <w:r w:rsidRPr="00BC6239">
              <w:rPr>
                <w:rFonts w:ascii="DIN Pro" w:eastAsia="Times New Roman" w:hAnsi="DIN Pro" w:cs="Arial"/>
                <w:b/>
                <w:bCs/>
                <w:lang w:eastAsia="zh-CN"/>
              </w:rPr>
              <w:t>du</w:t>
            </w:r>
            <w:proofErr w:type="gramEnd"/>
            <w:r w:rsidRPr="00BC6239">
              <w:rPr>
                <w:rFonts w:ascii="DIN Pro" w:eastAsia="Times New Roman" w:hAnsi="DIN Pro" w:cs="Arial"/>
                <w:b/>
                <w:bCs/>
                <w:lang w:eastAsia="zh-CN"/>
              </w:rPr>
              <w:t xml:space="preserve">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2E1A4A0C" w14:textId="355262BC" w:rsidR="0035153B"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14829C06"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w:t>
      </w:r>
      <w:r w:rsidR="00793609">
        <w:rPr>
          <w:rFonts w:ascii="DIN Pro" w:hAnsi="DIN Pro"/>
        </w:rPr>
        <w:t>1</w:t>
      </w:r>
      <w:r w:rsidRPr="009003FC">
        <w:rPr>
          <w:rFonts w:ascii="DIN Pro" w:hAnsi="DIN Pro"/>
        </w:rPr>
        <w:t> »</w:t>
      </w:r>
      <w:r w:rsidR="001C19D3" w:rsidRPr="009003FC">
        <w:rPr>
          <w:rFonts w:ascii="DIN Pro" w:hAnsi="DIN Pro"/>
        </w:rPr>
        <w:t xml:space="preserve"> de l’acte d’engagement « </w:t>
      </w:r>
      <w:r w:rsidR="00AE27C3">
        <w:rPr>
          <w:rFonts w:ascii="DIN Pro" w:hAnsi="DIN Pro"/>
        </w:rPr>
        <w:t>Le Bordereau des prix unitaire (BPU)</w:t>
      </w:r>
      <w:r w:rsidR="001C19D3" w:rsidRPr="009003FC">
        <w:rPr>
          <w:rFonts w:ascii="DIN Pro" w:hAnsi="DIN Pro"/>
        </w:rPr>
        <w:t xml:space="preserve"> »,</w:t>
      </w:r>
    </w:p>
    <w:p w14:paraId="302B1DED" w14:textId="632E258B"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2</w:t>
      </w:r>
      <w:r w:rsidR="009003FC" w:rsidRPr="009003FC">
        <w:rPr>
          <w:rFonts w:ascii="DIN Pro" w:hAnsi="DIN Pro"/>
        </w:rPr>
        <w:t> »</w:t>
      </w:r>
      <w:r w:rsidRPr="009003FC">
        <w:rPr>
          <w:rFonts w:ascii="DIN Pro" w:hAnsi="DIN Pro"/>
        </w:rPr>
        <w:t xml:space="preserve"> de l’acte d’engagement « </w:t>
      </w:r>
      <w:r w:rsidR="00387929">
        <w:rPr>
          <w:rFonts w:ascii="DIN Pro" w:hAnsi="DIN Pro"/>
        </w:rPr>
        <w:t>Le cadre de réponse</w:t>
      </w:r>
      <w:r w:rsidRPr="009003FC">
        <w:rPr>
          <w:rFonts w:ascii="DIN Pro" w:hAnsi="DIN Pro"/>
        </w:rPr>
        <w:t xml:space="preserve"> technique »</w:t>
      </w:r>
    </w:p>
    <w:p w14:paraId="0127D376" w14:textId="21E22A91"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3</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L’engagement de confidentialité »,</w:t>
      </w:r>
    </w:p>
    <w:p w14:paraId="6FE7F87B" w14:textId="7A4B5B0D"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4</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d’absence de conflit d’intérêt »,</w:t>
      </w:r>
    </w:p>
    <w:p w14:paraId="313483BE" w14:textId="11BA6F73"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5</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p>
    <w:p w14:paraId="7611A799" w14:textId="55D7F910" w:rsidR="00261A67" w:rsidRPr="00317231" w:rsidRDefault="001C19D3" w:rsidP="00317231">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6</w:t>
      </w:r>
      <w:r w:rsidR="009003FC" w:rsidRPr="009003FC">
        <w:rPr>
          <w:rFonts w:ascii="DIN Pro" w:hAnsi="DIN Pro"/>
        </w:rPr>
        <w:t> »</w:t>
      </w:r>
      <w:r w:rsidRPr="009003FC">
        <w:rPr>
          <w:rFonts w:ascii="DIN Pro" w:hAnsi="DIN Pro"/>
        </w:rPr>
        <w:t xml:space="preserve"> de l’acte d’engagement « Les clauses de sous-traitance et protection des données personnelles » ;</w:t>
      </w:r>
    </w:p>
    <w:p w14:paraId="5CDC2132" w14:textId="77777777" w:rsidR="00261A67" w:rsidRPr="00BC6239" w:rsidRDefault="00261A67"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rial MT">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2588755D" w:rsidR="00C60C0A" w:rsidRPr="00452E3C" w:rsidRDefault="00307477" w:rsidP="00F86891">
          <w:pPr>
            <w:spacing w:after="0"/>
            <w:ind w:left="-4" w:firstLine="4"/>
            <w:jc w:val="center"/>
            <w:rPr>
              <w:rFonts w:ascii="DIN Pro" w:hAnsi="DIN Pro" w:cs="Arial"/>
              <w:b/>
            </w:rPr>
          </w:pPr>
          <w:r>
            <w:rPr>
              <w:rFonts w:ascii="DIN Pro" w:hAnsi="DIN Pro" w:cs="Arial"/>
              <w:b/>
            </w:rPr>
            <w:t>MAPA-2025-0</w:t>
          </w:r>
          <w:r w:rsidR="0066597B">
            <w:rPr>
              <w:rFonts w:ascii="DIN Pro" w:hAnsi="DIN Pro" w:cs="Arial"/>
              <w:b/>
            </w:rPr>
            <w:t>8</w:t>
          </w:r>
        </w:p>
      </w:tc>
      <w:tc>
        <w:tcPr>
          <w:tcW w:w="3240" w:type="dxa"/>
          <w:shd w:val="clear" w:color="auto" w:fill="DEEAF6"/>
          <w:vAlign w:val="center"/>
        </w:tcPr>
        <w:p w14:paraId="5765CA13" w14:textId="327D99CF"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261A67">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61A67">
                    <w:rPr>
                      <w:b/>
                      <w:bCs/>
                      <w:noProof/>
                    </w:rPr>
                    <w:t>10</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063631">
    <w:abstractNumId w:val="1"/>
  </w:num>
  <w:num w:numId="2" w16cid:durableId="1341541345">
    <w:abstractNumId w:val="4"/>
  </w:num>
  <w:num w:numId="3" w16cid:durableId="209415481">
    <w:abstractNumId w:val="2"/>
  </w:num>
  <w:num w:numId="4" w16cid:durableId="2087264993">
    <w:abstractNumId w:val="3"/>
  </w:num>
  <w:num w:numId="5" w16cid:durableId="1695186512">
    <w:abstractNumId w:val="0"/>
  </w:num>
  <w:num w:numId="6" w16cid:durableId="437023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8178F"/>
    <w:rsid w:val="00084C8B"/>
    <w:rsid w:val="00093D6A"/>
    <w:rsid w:val="000D2471"/>
    <w:rsid w:val="000E39CB"/>
    <w:rsid w:val="00167A4E"/>
    <w:rsid w:val="00183A5E"/>
    <w:rsid w:val="00185CF0"/>
    <w:rsid w:val="001964C7"/>
    <w:rsid w:val="001C19D3"/>
    <w:rsid w:val="001D6B24"/>
    <w:rsid w:val="00261A67"/>
    <w:rsid w:val="002F28BD"/>
    <w:rsid w:val="00307477"/>
    <w:rsid w:val="00307EC4"/>
    <w:rsid w:val="00317231"/>
    <w:rsid w:val="0035153B"/>
    <w:rsid w:val="00387929"/>
    <w:rsid w:val="003B58AA"/>
    <w:rsid w:val="003C10F3"/>
    <w:rsid w:val="003C1DCA"/>
    <w:rsid w:val="003D3B3C"/>
    <w:rsid w:val="00456B40"/>
    <w:rsid w:val="00495CB7"/>
    <w:rsid w:val="00497836"/>
    <w:rsid w:val="004A359C"/>
    <w:rsid w:val="004E6B86"/>
    <w:rsid w:val="004F3074"/>
    <w:rsid w:val="005354BC"/>
    <w:rsid w:val="005B109D"/>
    <w:rsid w:val="005B112A"/>
    <w:rsid w:val="005D1960"/>
    <w:rsid w:val="005D706F"/>
    <w:rsid w:val="00643DEB"/>
    <w:rsid w:val="0065051F"/>
    <w:rsid w:val="0065586A"/>
    <w:rsid w:val="00665631"/>
    <w:rsid w:val="0066597B"/>
    <w:rsid w:val="006A09CA"/>
    <w:rsid w:val="006A1EA4"/>
    <w:rsid w:val="006D57BA"/>
    <w:rsid w:val="00707546"/>
    <w:rsid w:val="007556C6"/>
    <w:rsid w:val="00793609"/>
    <w:rsid w:val="0079365C"/>
    <w:rsid w:val="00813ADE"/>
    <w:rsid w:val="0081726D"/>
    <w:rsid w:val="00842811"/>
    <w:rsid w:val="00855CF6"/>
    <w:rsid w:val="00870C55"/>
    <w:rsid w:val="00875B1C"/>
    <w:rsid w:val="008B17A8"/>
    <w:rsid w:val="008C2871"/>
    <w:rsid w:val="009003FC"/>
    <w:rsid w:val="00943ACE"/>
    <w:rsid w:val="009E1061"/>
    <w:rsid w:val="00A02D67"/>
    <w:rsid w:val="00A27575"/>
    <w:rsid w:val="00A55DF8"/>
    <w:rsid w:val="00AE27C3"/>
    <w:rsid w:val="00AF0C83"/>
    <w:rsid w:val="00B31B63"/>
    <w:rsid w:val="00B40162"/>
    <w:rsid w:val="00B84C12"/>
    <w:rsid w:val="00B85AEB"/>
    <w:rsid w:val="00BC6239"/>
    <w:rsid w:val="00BD447D"/>
    <w:rsid w:val="00C06DD8"/>
    <w:rsid w:val="00C11310"/>
    <w:rsid w:val="00C129C1"/>
    <w:rsid w:val="00C36B4F"/>
    <w:rsid w:val="00C572FF"/>
    <w:rsid w:val="00C60C0A"/>
    <w:rsid w:val="00CF12FB"/>
    <w:rsid w:val="00CF3DBC"/>
    <w:rsid w:val="00D01FE4"/>
    <w:rsid w:val="00D03523"/>
    <w:rsid w:val="00D36C08"/>
    <w:rsid w:val="00D43EC2"/>
    <w:rsid w:val="00D62755"/>
    <w:rsid w:val="00D84C7B"/>
    <w:rsid w:val="00DD4539"/>
    <w:rsid w:val="00DE0105"/>
    <w:rsid w:val="00ED2EDC"/>
    <w:rsid w:val="00F07145"/>
    <w:rsid w:val="00F50103"/>
    <w:rsid w:val="00F53D31"/>
    <w:rsid w:val="00F72044"/>
    <w:rsid w:val="00F86891"/>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unhideWhenUsed/>
    <w:rsid w:val="006D57BA"/>
    <w:rPr>
      <w:sz w:val="16"/>
      <w:szCs w:val="16"/>
    </w:rPr>
  </w:style>
  <w:style w:type="paragraph" w:styleId="Commentaire">
    <w:name w:val="annotation text"/>
    <w:basedOn w:val="Normal"/>
    <w:link w:val="CommentaireCar"/>
    <w:uiPriority w:val="99"/>
    <w:unhideWhenUsed/>
    <w:rsid w:val="006D57BA"/>
    <w:pPr>
      <w:spacing w:line="240" w:lineRule="auto"/>
    </w:pPr>
    <w:rPr>
      <w:sz w:val="20"/>
      <w:szCs w:val="20"/>
    </w:rPr>
  </w:style>
  <w:style w:type="character" w:customStyle="1" w:styleId="CommentaireCar">
    <w:name w:val="Commentaire Car"/>
    <w:basedOn w:val="Policepardfaut"/>
    <w:link w:val="Commentaire"/>
    <w:uiPriority w:val="99"/>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unhideWhenUsed/>
    <w:rsid w:val="000D2471"/>
    <w:pPr>
      <w:spacing w:after="120" w:line="480" w:lineRule="auto"/>
    </w:pPr>
  </w:style>
  <w:style w:type="character" w:customStyle="1" w:styleId="Corpsdetexte2Car">
    <w:name w:val="Corps de texte 2 Car"/>
    <w:basedOn w:val="Policepardfaut"/>
    <w:link w:val="Corpsdetexte2"/>
    <w:uiPriority w:val="99"/>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TotalTime>
  <Pages>9</Pages>
  <Words>2176</Words>
  <Characters>11973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Azhar FALA</cp:lastModifiedBy>
  <cp:revision>57</cp:revision>
  <cp:lastPrinted>2024-06-07T12:53:00Z</cp:lastPrinted>
  <dcterms:created xsi:type="dcterms:W3CDTF">2023-06-07T08:28:00Z</dcterms:created>
  <dcterms:modified xsi:type="dcterms:W3CDTF">2025-07-25T15:51:00Z</dcterms:modified>
</cp:coreProperties>
</file>